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C2" w:rsidRPr="004879F6" w:rsidRDefault="004907C2" w:rsidP="004907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1.B.1 (DER)</w:t>
      </w:r>
    </w:p>
    <w:p w:rsidR="004907C2" w:rsidRDefault="004907C2" w:rsidP="004907C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4907C2" w:rsidRPr="004879F6" w:rsidRDefault="004907C2" w:rsidP="004907C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Haut- und Geschlechtskrankheiten,</w:t>
      </w:r>
    </w:p>
    <w:p w:rsidR="004907C2" w:rsidRPr="004879F6" w:rsidRDefault="004907C2" w:rsidP="004907C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wenn kein Wahlfach gewählt wurde</w:t>
      </w:r>
    </w:p>
    <w:p w:rsidR="004907C2" w:rsidRPr="004879F6" w:rsidRDefault="004907C2" w:rsidP="004907C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4907C2" w:rsidRPr="004879F6" w:rsidRDefault="004907C2" w:rsidP="004907C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(Kenntnisse und Erfahrungen können in einem Kurs oder via E-Learning vermittelt werden, Erfahrungen und Fertigkeiten werden in der Lehrpraxis für Allgemeinmedizin erworben)</w:t>
      </w:r>
    </w:p>
    <w:p w:rsidR="004907C2" w:rsidRPr="004879F6" w:rsidRDefault="004907C2" w:rsidP="004907C2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lebensbedrohlichen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thromboembolischen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Arzneimittelreaktionen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Verbrennungen, Verätzungen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2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akuten allergischen Reaktionen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907C2" w:rsidRPr="002861F2" w:rsidRDefault="004907C2" w:rsidP="004907C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 xml:space="preserve">Erkennen und Vorgehen bei akut lebensbedrohlichen Situationen, </w:t>
            </w:r>
            <w:r w:rsidRPr="000D0467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thromboembolischen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Arzneimittelreaktionen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Verbrennungen, Verätzungen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akuten allergischen Reaktionen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2861F2" w:rsidRDefault="004907C2" w:rsidP="003D7E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 xml:space="preserve">Erkennen und Vorgehen bei akut lebensbedrohlichen Situationen, </w:t>
            </w:r>
            <w:r w:rsidRPr="000D0467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thromboembolischen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Arzneimittelreaktionen der Haut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Verbrennungen, Verätzungen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akuten allergischen Reaktionen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907C2" w:rsidRPr="000D0467" w:rsidRDefault="004907C2" w:rsidP="004907C2">
      <w:pPr>
        <w:spacing w:after="0" w:line="36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"/>
              </w:numPr>
              <w:spacing w:after="0" w:line="240" w:lineRule="auto"/>
              <w:ind w:left="284" w:hanging="425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Anamnese, Befunderhebung, Differentialdiagnostik, Therapie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Kontaktdermatitis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Urticaria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lastRenderedPageBreak/>
              <w:t>Erkrankungen durch physikalische Einflüsse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chronische Wunden inkl. Wundmanagement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diabetischer Fuß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chronisch venöse Insuffizienz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pigmentierte und nichtpigmentierte Hauttumore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häufige Infektionen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häufige Hauterkrankungen (z.B. Neurodermitis, Psoriasis)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Probenentnahme für Erregerbestimmung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 w:line="240" w:lineRule="auto"/>
              <w:ind w:lef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Anamnese, Befunderhebung, Differentialdiagnostik, Therapie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Kontaktdermatitis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Urticaria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Erkrankungen durch physikalische Einflüsse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chronische Wunden inkl. Wundmanagement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diabetischer Fuß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chronisch venöse Insuffizienz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pigmentierte und nichtpigmentierte Hauttumore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häufige Infektionen der Haut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häufige Hauterkrankungen (z.B. Neurodermitis, Psoriasis)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Probenentnahme für Erregerbestimmung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0467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3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Anamnese, Befunderhebung, Differentialdiagnostik, Therapie häufiger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Kontaktdermatitis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Urticaria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Erkrankungen durch physikalische Einflüsse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chronische Wunden inkl. Wundmanagement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diabetischer Fuß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chronisch venöse Insuffizienz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pigmentierte und nichtpigmentierte Hauttumore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häufige Infektionen der Haut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0D0467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D0467">
              <w:rPr>
                <w:rFonts w:ascii="Times New Roman" w:hAnsi="Times New Roman" w:cs="Times New Roman"/>
                <w:sz w:val="20"/>
              </w:rPr>
              <w:t>häufige Hauterkrankungen (z.B. Neurodermitis, Psoriasis)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0D0467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Probenentnahme für Erregerbestimmung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907C2" w:rsidRDefault="004907C2" w:rsidP="004907C2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p w:rsidR="004907C2" w:rsidRDefault="004907C2">
      <w:pPr>
        <w:rPr>
          <w:rFonts w:ascii="Times New Roman" w:eastAsia="PMingLiU" w:hAnsi="Times New Roman" w:cs="Times New Roman"/>
          <w:sz w:val="28"/>
          <w:szCs w:val="28"/>
          <w:lang w:val="en-US"/>
        </w:rPr>
      </w:pPr>
      <w:r>
        <w:rPr>
          <w:rFonts w:ascii="Times New Roman" w:eastAsia="PMingLiU" w:hAnsi="Times New Roman" w:cs="Times New Roman"/>
          <w:sz w:val="28"/>
          <w:szCs w:val="28"/>
          <w:lang w:val="en-US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"/>
              </w:numPr>
              <w:spacing w:after="0" w:line="240" w:lineRule="auto"/>
              <w:ind w:left="284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fachspezifischen Methoden zur Behandlung von Erkrankungen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sexuell übertragbare Infektionen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"/>
              </w:numPr>
              <w:spacing w:after="0" w:line="240" w:lineRule="auto"/>
              <w:ind w:left="284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Biopsie/Histologie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Allergiediagnostik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immunologische und mikrobiologische 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"/>
              </w:numPr>
              <w:spacing w:after="0" w:line="240" w:lineRule="auto"/>
              <w:ind w:left="284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 und Risiken fachspezifischer Verfahren wie: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Phototherapie inkl. Laser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Dermatochirurgie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Dermatoonkologie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5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fachspezifischen Methoden zur Behandlung von Erkrankungen wie: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sexuell übertragbare Infektionen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907C2" w:rsidRPr="004879F6" w:rsidRDefault="004907C2" w:rsidP="004907C2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Geriatrie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8"/>
              </w:numPr>
              <w:tabs>
                <w:tab w:val="left" w:pos="42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Diagnostik und Behandlung typischer Hauterkrankungen im höheren Alter: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Pruritus und Ekzem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Dermatosen bei Inkontinenz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Herpes Zoster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Atrophe Haut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chronischer UV-Schäden der Haut</w:t>
            </w:r>
          </w:p>
        </w:tc>
      </w:tr>
      <w:tr w:rsidR="004907C2" w:rsidRPr="004879F6" w:rsidTr="003D7E04">
        <w:tc>
          <w:tcPr>
            <w:tcW w:w="9498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8"/>
              </w:numPr>
              <w:tabs>
                <w:tab w:val="left" w:pos="42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Diagnostik und Behandlung typischer Hauterkrankungen im höheren Alter: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Pruritus und Ekzem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Dermatosen bei Inkontinenz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Herpes Zoster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Atrophe Haut</w:t>
            </w:r>
          </w:p>
        </w:tc>
      </w:tr>
      <w:tr w:rsidR="004907C2" w:rsidRPr="004879F6" w:rsidTr="003D7E04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chronischer UV-Schäden der Haut</w:t>
            </w:r>
          </w:p>
        </w:tc>
      </w:tr>
    </w:tbl>
    <w:p w:rsidR="00ED1735" w:rsidRDefault="00ED1735" w:rsidP="004907C2"/>
    <w:p w:rsidR="00ED1735" w:rsidRDefault="00ED1735">
      <w:r>
        <w:br w:type="page"/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  <w:gridCol w:w="1252"/>
      </w:tblGrid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18"/>
              </w:numPr>
              <w:tabs>
                <w:tab w:val="left" w:pos="42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Fertigkeiten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0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Diagnostik und Behandlung typischer Hauterkrankungen im höheren Alter: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Pruritus und Ekzem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Dermatosen bei Inkontinenz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Dekubitus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Herpes Zoster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Atrophe Haut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07C2" w:rsidRPr="004879F6" w:rsidTr="003D7E04">
        <w:tc>
          <w:tcPr>
            <w:tcW w:w="824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4907C2">
            <w:pPr>
              <w:numPr>
                <w:ilvl w:val="0"/>
                <w:numId w:val="29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chronischer UV-Schäden der Haut</w:t>
            </w:r>
          </w:p>
        </w:tc>
        <w:tc>
          <w:tcPr>
            <w:tcW w:w="125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907C2" w:rsidRPr="004879F6" w:rsidRDefault="004907C2" w:rsidP="003D7E0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907C2" w:rsidRPr="004879F6" w:rsidRDefault="004907C2" w:rsidP="004907C2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14424C" w:rsidRDefault="0014424C" w:rsidP="004907C2"/>
    <w:sectPr w:rsidR="00144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0D" w:rsidRDefault="004F440D" w:rsidP="004F440D">
      <w:pPr>
        <w:spacing w:after="0" w:line="240" w:lineRule="auto"/>
      </w:pPr>
      <w:r>
        <w:separator/>
      </w:r>
    </w:p>
  </w:endnote>
  <w:endnote w:type="continuationSeparator" w:id="0">
    <w:p w:rsidR="004F440D" w:rsidRDefault="004F440D" w:rsidP="004F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0D" w:rsidRDefault="004F44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0D" w:rsidRPr="004F440D" w:rsidRDefault="004F440D">
    <w:pPr>
      <w:pStyle w:val="Fuzeile"/>
      <w:rPr>
        <w:rFonts w:ascii="Times New Roman" w:hAnsi="Times New Roman" w:cs="Times New Roman"/>
        <w:sz w:val="18"/>
        <w:szCs w:val="18"/>
      </w:rPr>
    </w:pPr>
    <w:r w:rsidRPr="004F440D">
      <w:rPr>
        <w:rFonts w:ascii="Times New Roman" w:hAnsi="Times New Roman" w:cs="Times New Roman"/>
        <w:sz w:val="18"/>
        <w:szCs w:val="18"/>
      </w:rPr>
      <w:t>ÄAO 2015, 3. Nov. KEF u RZ-V 2015, Version 1.</w:t>
    </w:r>
    <w:r w:rsidR="00404D95">
      <w:rPr>
        <w:rFonts w:ascii="Times New Roman" w:hAnsi="Times New Roman" w:cs="Times New Roman"/>
        <w:sz w:val="18"/>
        <w:szCs w:val="18"/>
      </w:rPr>
      <w:t>3</w:t>
    </w:r>
    <w:bookmarkStart w:id="0" w:name="_GoBack"/>
    <w:bookmarkEnd w:id="0"/>
    <w:r w:rsidRPr="004F440D">
      <w:rPr>
        <w:rFonts w:ascii="Times New Roman" w:hAnsi="Times New Roman" w:cs="Times New Roman"/>
        <w:sz w:val="18"/>
        <w:szCs w:val="18"/>
      </w:rPr>
      <w:t xml:space="preserve">. für Ausbildungsbeginn ab </w:t>
    </w:r>
    <w:r>
      <w:rPr>
        <w:rFonts w:ascii="Times New Roman" w:hAnsi="Times New Roman" w:cs="Times New Roman"/>
        <w:sz w:val="18"/>
        <w:szCs w:val="18"/>
      </w:rPr>
      <w:t>01.01.2020</w:t>
    </w:r>
    <w:r>
      <w:rPr>
        <w:rFonts w:ascii="Times New Roman" w:hAnsi="Times New Roman" w:cs="Times New Roman"/>
        <w:sz w:val="18"/>
        <w:szCs w:val="18"/>
      </w:rPr>
      <w:tab/>
    </w:r>
    <w:r w:rsidRPr="004F440D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4F440D">
      <w:rPr>
        <w:rFonts w:ascii="Times New Roman" w:hAnsi="Times New Roman" w:cs="Times New Roman"/>
        <w:bCs/>
        <w:sz w:val="18"/>
        <w:szCs w:val="18"/>
      </w:rPr>
      <w:fldChar w:fldCharType="begin"/>
    </w:r>
    <w:r w:rsidRPr="004F440D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4F440D">
      <w:rPr>
        <w:rFonts w:ascii="Times New Roman" w:hAnsi="Times New Roman" w:cs="Times New Roman"/>
        <w:bCs/>
        <w:sz w:val="18"/>
        <w:szCs w:val="18"/>
      </w:rPr>
      <w:fldChar w:fldCharType="separate"/>
    </w:r>
    <w:r w:rsidR="00404D95" w:rsidRPr="00404D95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4F440D">
      <w:rPr>
        <w:rFonts w:ascii="Times New Roman" w:hAnsi="Times New Roman" w:cs="Times New Roman"/>
        <w:bCs/>
        <w:sz w:val="18"/>
        <w:szCs w:val="18"/>
      </w:rPr>
      <w:fldChar w:fldCharType="end"/>
    </w:r>
    <w:r w:rsidRPr="004F440D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4F440D">
      <w:rPr>
        <w:rFonts w:ascii="Times New Roman" w:hAnsi="Times New Roman" w:cs="Times New Roman"/>
        <w:bCs/>
        <w:sz w:val="18"/>
        <w:szCs w:val="18"/>
      </w:rPr>
      <w:fldChar w:fldCharType="begin"/>
    </w:r>
    <w:r w:rsidRPr="004F440D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4F440D">
      <w:rPr>
        <w:rFonts w:ascii="Times New Roman" w:hAnsi="Times New Roman" w:cs="Times New Roman"/>
        <w:bCs/>
        <w:sz w:val="18"/>
        <w:szCs w:val="18"/>
      </w:rPr>
      <w:fldChar w:fldCharType="separate"/>
    </w:r>
    <w:r w:rsidR="00404D95" w:rsidRPr="00404D95">
      <w:rPr>
        <w:rFonts w:ascii="Times New Roman" w:hAnsi="Times New Roman" w:cs="Times New Roman"/>
        <w:bCs/>
        <w:noProof/>
        <w:sz w:val="18"/>
        <w:szCs w:val="18"/>
        <w:lang w:val="de-DE"/>
      </w:rPr>
      <w:t>4</w:t>
    </w:r>
    <w:r w:rsidRPr="004F440D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0D" w:rsidRDefault="004F44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0D" w:rsidRDefault="004F440D" w:rsidP="004F440D">
      <w:pPr>
        <w:spacing w:after="0" w:line="240" w:lineRule="auto"/>
      </w:pPr>
      <w:r>
        <w:separator/>
      </w:r>
    </w:p>
  </w:footnote>
  <w:footnote w:type="continuationSeparator" w:id="0">
    <w:p w:rsidR="004F440D" w:rsidRDefault="004F440D" w:rsidP="004F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0D" w:rsidRDefault="004F44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0D" w:rsidRDefault="004F44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0D" w:rsidRDefault="004F44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B0E"/>
    <w:multiLevelType w:val="hybridMultilevel"/>
    <w:tmpl w:val="53C2948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087278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0831A4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7E30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2B28"/>
    <w:multiLevelType w:val="hybridMultilevel"/>
    <w:tmpl w:val="F5DEC84A"/>
    <w:lvl w:ilvl="0" w:tplc="5B3A2EB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54C6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D693E"/>
    <w:multiLevelType w:val="hybridMultilevel"/>
    <w:tmpl w:val="171AAF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F7EAC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49B"/>
    <w:multiLevelType w:val="hybridMultilevel"/>
    <w:tmpl w:val="0A9C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A71AF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264B"/>
    <w:multiLevelType w:val="hybridMultilevel"/>
    <w:tmpl w:val="9D429EC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5A711A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C3212"/>
    <w:multiLevelType w:val="hybridMultilevel"/>
    <w:tmpl w:val="1EE6E80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97E58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4F48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25698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F4E34"/>
    <w:multiLevelType w:val="hybridMultilevel"/>
    <w:tmpl w:val="F0E8BA7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83642E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B3CF0"/>
    <w:multiLevelType w:val="hybridMultilevel"/>
    <w:tmpl w:val="032878F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DD6933"/>
    <w:multiLevelType w:val="hybridMultilevel"/>
    <w:tmpl w:val="1FB604D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7469D1"/>
    <w:multiLevelType w:val="hybridMultilevel"/>
    <w:tmpl w:val="8878C5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0B74C5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72EDF"/>
    <w:multiLevelType w:val="hybridMultilevel"/>
    <w:tmpl w:val="24B48776"/>
    <w:lvl w:ilvl="0" w:tplc="4CF274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94A5A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66BB1"/>
    <w:multiLevelType w:val="hybridMultilevel"/>
    <w:tmpl w:val="6B32C03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6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4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27"/>
  </w:num>
  <w:num w:numId="15">
    <w:abstractNumId w:val="23"/>
  </w:num>
  <w:num w:numId="16">
    <w:abstractNumId w:val="9"/>
  </w:num>
  <w:num w:numId="17">
    <w:abstractNumId w:val="25"/>
  </w:num>
  <w:num w:numId="18">
    <w:abstractNumId w:val="16"/>
  </w:num>
  <w:num w:numId="19">
    <w:abstractNumId w:val="24"/>
  </w:num>
  <w:num w:numId="20">
    <w:abstractNumId w:val="4"/>
  </w:num>
  <w:num w:numId="21">
    <w:abstractNumId w:val="17"/>
  </w:num>
  <w:num w:numId="22">
    <w:abstractNumId w:val="21"/>
  </w:num>
  <w:num w:numId="23">
    <w:abstractNumId w:val="18"/>
  </w:num>
  <w:num w:numId="24">
    <w:abstractNumId w:val="22"/>
  </w:num>
  <w:num w:numId="25">
    <w:abstractNumId w:val="11"/>
  </w:num>
  <w:num w:numId="26">
    <w:abstractNumId w:val="0"/>
  </w:num>
  <w:num w:numId="27">
    <w:abstractNumId w:val="28"/>
  </w:num>
  <w:num w:numId="28">
    <w:abstractNumId w:val="2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C2"/>
    <w:rsid w:val="0014424C"/>
    <w:rsid w:val="00404D95"/>
    <w:rsid w:val="004907C2"/>
    <w:rsid w:val="004F440D"/>
    <w:rsid w:val="00E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7F43F8"/>
  <w15:chartTrackingRefBased/>
  <w15:docId w15:val="{B387F879-76CA-4566-BB7D-8C5D9901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07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40D"/>
  </w:style>
  <w:style w:type="paragraph" w:styleId="Fuzeile">
    <w:name w:val="footer"/>
    <w:basedOn w:val="Standard"/>
    <w:link w:val="FuzeileZchn"/>
    <w:uiPriority w:val="99"/>
    <w:unhideWhenUsed/>
    <w:rsid w:val="004F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4</cp:revision>
  <cp:lastPrinted>2020-01-22T08:44:00Z</cp:lastPrinted>
  <dcterms:created xsi:type="dcterms:W3CDTF">2020-01-21T12:57:00Z</dcterms:created>
  <dcterms:modified xsi:type="dcterms:W3CDTF">2020-03-30T07:56:00Z</dcterms:modified>
</cp:coreProperties>
</file>